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46</w:t>
      </w:r>
    </w:p>
    <w:p>
      <w:r>
        <w:t>Bundesgericht (BGE), 1998-11-30, DE</w:t>
      </w:r>
    </w:p>
    <w:p>
      <w:r>
        <w:rPr>
          <w:b/>
        </w:rPr>
        <w:t xml:space="preserve">Quelle: </w:t>
      </w:r>
      <w:r>
        <w:t>https://mcp.opencaselaw.ch/entscheid/bge_125 I 46</w:t>
      </w:r>
    </w:p>
    <w:p>
      <w:r>
        <w:t>FR: ATF 125 I 46</w:t>
      </w:r>
    </w:p>
    <w:p>
      <w:r>
        <w:t>IT: DTF 125 I 46</w:t>
      </w:r>
    </w:p>
    <w:p>
      <w:pPr>
        <w:pStyle w:val="Heading2"/>
      </w:pPr>
      <w:r>
        <w:t>Regeste</w:t>
      </w:r>
    </w:p>
    <w:p>
      <w:r>
        <w:t>Regeste Art. 36 Abs. 4 BV, Art. 8 EMRK; Telefonabhörung, Verwendung von Zufallsfunden als Beweismittel im Strafverfahren gegen den von der Abhörung mit erfassten Gesprächspartner, Zeugnisverweigerungsrecht aufgrund des Berufsgeheimnisses. Die auf dem Berufsgeheimnis beruhende Einschränkung der Verwendung von Abhörprotokollen entfällt, wenn die zur Zeugnisverweigerung berechtigte Person selbst einer überwachungswürdigen Straftat verdächtigt wird. Protokolle über Gespräche einer rechtmässig überwachten Person dürfen daher zu Lasten des mit abgehörten Berufsgeheimnisträgers verwendet werden, sofern bei diesem die Voraussetzungen für eine Telefonabhörung ebenfalls erfüllt gewesen wären (E. 6). Voraussetzung der Schwere des Delikts (E. 7a).</w:t>
      </w:r>
    </w:p>
    <w:p>
      <w:pPr>
        <w:pStyle w:val="Heading2"/>
      </w:pPr>
      <w:r>
        <w:t>Erwägungen</w:t>
      </w:r>
    </w:p>
    <w:p>
      <w:r>
        <w:rPr>
          <w:b/>
        </w:rPr>
        <w:t>E. 3</w:t>
      </w:r>
    </w:p>
    <w:p>
      <w:r>
        <w:t>Mit dem angefochtenen Entscheid hat die KAK zwölf Abhörprotokolle der im Strafverfahren gegen A. überwachten Telefonanschlüsse zur Verwendung im Strafverfahren gegen den Beschwerdeführer zugelassen. Dieser macht geltend, der Entscheid verletze das Telefongeheimnis gemäss Art. 36 Abs. 4 BV und Art. 8 Ziff. 1 EMRK sowie das Willkürverbot nach Art. 4 BV . a) Art. 36 Abs. 4 BV und Art. 8 Ziff. 1 EMRK garantieren das Telefongeheimnis. Sie schützen damit die persönliche Geheimsphäre der am Telefonverkehr beteiligten Personen. Die Verfassungsgarantie BGE 125 I 46 S. 48 kann eingeschränkt werden, sofern die Einschränkung auf einer gesetzlichen Grundlage beruht, im öffentlichen Interesse liegt und verhältnismässig ist. In ähnlicher Weise kann nach Art. 8 Ziff. 2 EMRK in das durch die EMRK gewährleistete Telefongeheimnis eingegriffen werden, wenn dieser Eingriff gesetzlich vorgesehen ist und eine Massnahme darstellt, die in einer demokratischen Gesellschaft für die nationale Sicherheit, die öffentliche Ruhe und Ordnung und zur Verhinderung von strafbaren Handlungen, zum Schutz der Gesundheit und der Moral oder zum Schutz der Rechte und Freiheiten anderer notwendig ist ( BGE 122 I 182 E. 3a; BGE 120 Ia 314 E. 2a). b) Die Überwachung des Telefonverkehrs ist im Kanton Luzern in den §§ 117 ff. des Gesetzes über die Strafprozessordnung (StPO) geregelt. § 117 StPO umschreibt die Voraussetzungen der Telefonabhörung wie folgt: "Der Amtsstatthalter und der Staatsanwalt können den Post-, Telefon- und Telegrafenverkehr des Angeschuldigten überwachen und Sendungen beschlagnahmen lassen sowie technische Überwachungsgeräte einsetzen, wenn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